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17F" w:rsidRDefault="0060117F" w:rsidP="001E098D">
      <w:pPr>
        <w:jc w:val="center"/>
      </w:pPr>
      <w:r>
        <w:rPr>
          <w:rFonts w:hint="eastAsia"/>
        </w:rPr>
        <w:t>グリーンサイエンス・マテリアル株式会社における研究不正防止計画　　　　　　　　　　　　　　　　　　　　　　　　　　　　　　　　　　　　　　　　　　　　　平成３０</w:t>
      </w:r>
      <w:bookmarkStart w:id="0" w:name="_GoBack"/>
      <w:bookmarkEnd w:id="0"/>
      <w:r>
        <w:t>年</w:t>
      </w:r>
      <w:r>
        <w:rPr>
          <w:rFonts w:hint="eastAsia"/>
        </w:rPr>
        <w:t>７</w:t>
      </w:r>
      <w:r>
        <w:t>月</w:t>
      </w:r>
      <w:r>
        <w:rPr>
          <w:rFonts w:hint="eastAsia"/>
        </w:rPr>
        <w:t>２３</w:t>
      </w:r>
      <w:r>
        <w:t xml:space="preserve">日　　</w:t>
      </w:r>
      <w:r>
        <w:rPr>
          <w:rFonts w:hint="eastAsia"/>
        </w:rPr>
        <w:t>代表取締役</w:t>
      </w:r>
      <w:r>
        <w:t>裁定</w:t>
      </w:r>
    </w:p>
    <w:p w:rsidR="001E098D" w:rsidRDefault="001E098D" w:rsidP="001E098D">
      <w:pPr>
        <w:jc w:val="right"/>
        <w:rPr>
          <w:rFonts w:hint="eastAsia"/>
        </w:rPr>
      </w:pPr>
    </w:p>
    <w:p w:rsidR="0060117F" w:rsidRDefault="0060117F" w:rsidP="0060117F">
      <w:r>
        <w:rPr>
          <w:rFonts w:hint="eastAsia"/>
        </w:rPr>
        <w:t xml:space="preserve">　グリーンサイエンス・マテリアル株式</w:t>
      </w:r>
      <w:r>
        <w:t>（以下「</w:t>
      </w:r>
      <w:r>
        <w:rPr>
          <w:rFonts w:hint="eastAsia"/>
        </w:rPr>
        <w:t>弊社</w:t>
      </w:r>
      <w:r>
        <w:t>」という。）では、「研究機関における公的研究費の管理・監査 のガイドライン（実施基準）」（平成19年2月15日文部科学大臣決定。平成26年2月18日改正）及び「研究活 動における不正行為への対応等に関するガイドライン（平成26年8月26日文部科学大臣決定。）を踏まえ、「国立大学法人奈良教育大学における公的研究費の不正使用及び研究活動における不正行為の防止に関する規則（以下「規則」という。）」第５条第２項の規定に基づき、次のとおり研究不正防止計画を策定する。</w:t>
      </w:r>
    </w:p>
    <w:p w:rsidR="001E098D" w:rsidRDefault="001E098D" w:rsidP="0060117F">
      <w:pPr>
        <w:rPr>
          <w:rFonts w:hint="eastAsia"/>
        </w:rPr>
      </w:pPr>
    </w:p>
    <w:tbl>
      <w:tblPr>
        <w:tblStyle w:val="a3"/>
        <w:tblW w:w="0" w:type="auto"/>
        <w:tblLook w:val="04A0" w:firstRow="1" w:lastRow="0" w:firstColumn="1" w:lastColumn="0" w:noHBand="0" w:noVBand="1"/>
      </w:tblPr>
      <w:tblGrid>
        <w:gridCol w:w="846"/>
        <w:gridCol w:w="1276"/>
        <w:gridCol w:w="2835"/>
        <w:gridCol w:w="3537"/>
      </w:tblGrid>
      <w:tr w:rsidR="0060117F" w:rsidTr="00CE641D">
        <w:tc>
          <w:tcPr>
            <w:tcW w:w="2122" w:type="dxa"/>
            <w:gridSpan w:val="2"/>
            <w:vAlign w:val="center"/>
          </w:tcPr>
          <w:p w:rsidR="0060117F" w:rsidRPr="00957367" w:rsidRDefault="0060117F" w:rsidP="00957367">
            <w:pPr>
              <w:jc w:val="center"/>
              <w:rPr>
                <w:sz w:val="18"/>
              </w:rPr>
            </w:pPr>
            <w:r w:rsidRPr="00957367">
              <w:rPr>
                <w:rFonts w:hint="eastAsia"/>
                <w:sz w:val="18"/>
              </w:rPr>
              <w:t>事項</w:t>
            </w:r>
          </w:p>
        </w:tc>
        <w:tc>
          <w:tcPr>
            <w:tcW w:w="2835" w:type="dxa"/>
            <w:vAlign w:val="center"/>
          </w:tcPr>
          <w:p w:rsidR="0060117F" w:rsidRPr="00957367" w:rsidRDefault="00957367" w:rsidP="00957367">
            <w:pPr>
              <w:jc w:val="center"/>
              <w:rPr>
                <w:sz w:val="18"/>
              </w:rPr>
            </w:pPr>
            <w:r w:rsidRPr="00957367">
              <w:rPr>
                <w:rFonts w:hint="eastAsia"/>
                <w:sz w:val="18"/>
              </w:rPr>
              <w:t>不正の発生する要因等</w:t>
            </w:r>
          </w:p>
        </w:tc>
        <w:tc>
          <w:tcPr>
            <w:tcW w:w="3537" w:type="dxa"/>
            <w:vAlign w:val="center"/>
          </w:tcPr>
          <w:p w:rsidR="0060117F" w:rsidRPr="00957367" w:rsidRDefault="00957367" w:rsidP="00957367">
            <w:pPr>
              <w:jc w:val="center"/>
              <w:rPr>
                <w:sz w:val="18"/>
              </w:rPr>
            </w:pPr>
            <w:r w:rsidRPr="00957367">
              <w:rPr>
                <w:rFonts w:hint="eastAsia"/>
                <w:sz w:val="18"/>
              </w:rPr>
              <w:t>不正防止に向けた取り組み</w:t>
            </w:r>
          </w:p>
        </w:tc>
      </w:tr>
      <w:tr w:rsidR="0060117F" w:rsidTr="00CE641D">
        <w:tc>
          <w:tcPr>
            <w:tcW w:w="2122" w:type="dxa"/>
            <w:gridSpan w:val="2"/>
            <w:vAlign w:val="center"/>
          </w:tcPr>
          <w:p w:rsidR="0060117F" w:rsidRPr="00957367" w:rsidRDefault="00957367" w:rsidP="00957367">
            <w:pPr>
              <w:rPr>
                <w:sz w:val="18"/>
              </w:rPr>
            </w:pPr>
            <w:r w:rsidRPr="00957367">
              <w:rPr>
                <w:rFonts w:hint="eastAsia"/>
                <w:sz w:val="18"/>
              </w:rPr>
              <w:t>管理運営体制の明確化</w:t>
            </w:r>
          </w:p>
        </w:tc>
        <w:tc>
          <w:tcPr>
            <w:tcW w:w="2835" w:type="dxa"/>
            <w:vAlign w:val="center"/>
          </w:tcPr>
          <w:p w:rsidR="0060117F" w:rsidRPr="00957367" w:rsidRDefault="00957367" w:rsidP="00957367">
            <w:pPr>
              <w:rPr>
                <w:sz w:val="18"/>
              </w:rPr>
            </w:pPr>
            <w:r w:rsidRPr="00957367">
              <w:rPr>
                <w:rFonts w:hint="eastAsia"/>
                <w:sz w:val="18"/>
              </w:rPr>
              <w:t>公的研究費の運用に関する認識が不足して</w:t>
            </w:r>
            <w:r w:rsidRPr="00957367">
              <w:rPr>
                <w:sz w:val="18"/>
              </w:rPr>
              <w:t>おり、その管理運営体制も明確でない。</w:t>
            </w:r>
          </w:p>
        </w:tc>
        <w:tc>
          <w:tcPr>
            <w:tcW w:w="3537" w:type="dxa"/>
            <w:vAlign w:val="center"/>
          </w:tcPr>
          <w:p w:rsidR="0060117F" w:rsidRPr="00957367" w:rsidRDefault="00957367" w:rsidP="00957367">
            <w:pPr>
              <w:rPr>
                <w:sz w:val="18"/>
              </w:rPr>
            </w:pPr>
            <w:r w:rsidRPr="00957367">
              <w:rPr>
                <w:rFonts w:hint="eastAsia"/>
                <w:sz w:val="18"/>
              </w:rPr>
              <w:t>公的研究費の不正使用等防止に向けた管理</w:t>
            </w:r>
            <w:r w:rsidRPr="00957367">
              <w:rPr>
                <w:sz w:val="18"/>
              </w:rPr>
              <w:t>運営体制をホームページで</w:t>
            </w:r>
            <w:r>
              <w:rPr>
                <w:rFonts w:hint="eastAsia"/>
                <w:sz w:val="18"/>
              </w:rPr>
              <w:t>会社</w:t>
            </w:r>
            <w:r w:rsidRPr="00957367">
              <w:rPr>
                <w:sz w:val="18"/>
              </w:rPr>
              <w:t>内外に公表する。</w:t>
            </w:r>
          </w:p>
        </w:tc>
      </w:tr>
      <w:tr w:rsidR="0060117F" w:rsidTr="00CE641D">
        <w:tc>
          <w:tcPr>
            <w:tcW w:w="2122" w:type="dxa"/>
            <w:gridSpan w:val="2"/>
            <w:vAlign w:val="center"/>
          </w:tcPr>
          <w:p w:rsidR="0060117F" w:rsidRPr="00957367" w:rsidRDefault="00957367" w:rsidP="00957367">
            <w:pPr>
              <w:rPr>
                <w:sz w:val="18"/>
              </w:rPr>
            </w:pPr>
            <w:r w:rsidRPr="00957367">
              <w:rPr>
                <w:rFonts w:hint="eastAsia"/>
                <w:sz w:val="18"/>
              </w:rPr>
              <w:t>適正な運営・管理の基盤と</w:t>
            </w:r>
            <w:r w:rsidRPr="00957367">
              <w:rPr>
                <w:sz w:val="18"/>
              </w:rPr>
              <w:t>なる環境の整備</w:t>
            </w:r>
          </w:p>
        </w:tc>
        <w:tc>
          <w:tcPr>
            <w:tcW w:w="2835" w:type="dxa"/>
            <w:vAlign w:val="center"/>
          </w:tcPr>
          <w:p w:rsidR="0060117F" w:rsidRPr="00957367" w:rsidRDefault="00957367" w:rsidP="00957367">
            <w:pPr>
              <w:rPr>
                <w:sz w:val="18"/>
              </w:rPr>
            </w:pPr>
            <w:r w:rsidRPr="00957367">
              <w:rPr>
                <w:rFonts w:hint="eastAsia"/>
                <w:sz w:val="18"/>
              </w:rPr>
              <w:t>公的研究費の適正な使用のための行動規範</w:t>
            </w:r>
            <w:r w:rsidRPr="00957367">
              <w:rPr>
                <w:sz w:val="18"/>
              </w:rPr>
              <w:t xml:space="preserve"> 及び研究費使用ルール等に関する意識が不足している。</w:t>
            </w:r>
          </w:p>
        </w:tc>
        <w:tc>
          <w:tcPr>
            <w:tcW w:w="3537" w:type="dxa"/>
            <w:vAlign w:val="center"/>
          </w:tcPr>
          <w:p w:rsidR="0060117F" w:rsidRPr="00957367" w:rsidRDefault="00957367" w:rsidP="00957367">
            <w:pPr>
              <w:rPr>
                <w:sz w:val="18"/>
              </w:rPr>
            </w:pPr>
            <w:r w:rsidRPr="00957367">
              <w:rPr>
                <w:rFonts w:hint="eastAsia"/>
                <w:sz w:val="18"/>
              </w:rPr>
              <w:t>競争的資金等の運営・管理に関わる全ての</w:t>
            </w:r>
            <w:r w:rsidRPr="00957367">
              <w:rPr>
                <w:sz w:val="18"/>
              </w:rPr>
              <w:t xml:space="preserve"> 構成員にとってわかりやすいルールを定 め、周知するとともに、定期的にルールと 運用の乖離がないか、チェックする。</w:t>
            </w:r>
          </w:p>
        </w:tc>
      </w:tr>
      <w:tr w:rsidR="008C6FE2" w:rsidTr="00CE641D">
        <w:tc>
          <w:tcPr>
            <w:tcW w:w="846" w:type="dxa"/>
            <w:vMerge w:val="restart"/>
            <w:vAlign w:val="center"/>
          </w:tcPr>
          <w:p w:rsidR="008C6FE2" w:rsidRPr="00957367" w:rsidRDefault="008C6FE2" w:rsidP="00957367">
            <w:pPr>
              <w:rPr>
                <w:sz w:val="18"/>
              </w:rPr>
            </w:pPr>
          </w:p>
          <w:p w:rsidR="008C6FE2" w:rsidRPr="00957367" w:rsidRDefault="008C6FE2" w:rsidP="00957367">
            <w:pPr>
              <w:rPr>
                <w:sz w:val="18"/>
              </w:rPr>
            </w:pPr>
            <w:r w:rsidRPr="00957367">
              <w:rPr>
                <w:rFonts w:hint="eastAsia"/>
                <w:sz w:val="18"/>
              </w:rPr>
              <w:t>不</w:t>
            </w:r>
            <w:r w:rsidRPr="00957367">
              <w:rPr>
                <w:sz w:val="18"/>
              </w:rPr>
              <w:t>正使用等の防止向けた具体的項目</w:t>
            </w:r>
          </w:p>
        </w:tc>
        <w:tc>
          <w:tcPr>
            <w:tcW w:w="1276" w:type="dxa"/>
            <w:vMerge w:val="restart"/>
            <w:vAlign w:val="center"/>
          </w:tcPr>
          <w:p w:rsidR="008C6FE2" w:rsidRPr="00957367" w:rsidRDefault="008C6FE2" w:rsidP="00957367">
            <w:pPr>
              <w:rPr>
                <w:sz w:val="18"/>
              </w:rPr>
            </w:pPr>
            <w:r w:rsidRPr="00957367">
              <w:rPr>
                <w:rFonts w:hint="eastAsia"/>
                <w:sz w:val="18"/>
              </w:rPr>
              <w:t>物品等検収確認</w:t>
            </w:r>
          </w:p>
        </w:tc>
        <w:tc>
          <w:tcPr>
            <w:tcW w:w="2835" w:type="dxa"/>
            <w:vMerge w:val="restart"/>
            <w:vAlign w:val="center"/>
          </w:tcPr>
          <w:p w:rsidR="008C6FE2" w:rsidRPr="00957367" w:rsidRDefault="008C6FE2" w:rsidP="00957367">
            <w:pPr>
              <w:rPr>
                <w:sz w:val="18"/>
              </w:rPr>
            </w:pPr>
            <w:r w:rsidRPr="00957367">
              <w:rPr>
                <w:rFonts w:hint="eastAsia"/>
                <w:sz w:val="18"/>
              </w:rPr>
              <w:t>発注者</w:t>
            </w:r>
            <w:r w:rsidRPr="00957367">
              <w:rPr>
                <w:sz w:val="18"/>
              </w:rPr>
              <w:t>(研究者) が納品・検収確認を行うことがある場合などでは、研究費のプールなどが発生する温床となる。</w:t>
            </w:r>
          </w:p>
        </w:tc>
        <w:tc>
          <w:tcPr>
            <w:tcW w:w="3537" w:type="dxa"/>
            <w:vAlign w:val="center"/>
          </w:tcPr>
          <w:p w:rsidR="008C6FE2" w:rsidRPr="00957367" w:rsidRDefault="008C6FE2" w:rsidP="00957367">
            <w:pPr>
              <w:rPr>
                <w:sz w:val="18"/>
              </w:rPr>
            </w:pPr>
            <w:r w:rsidRPr="00957367">
              <w:rPr>
                <w:rFonts w:hint="eastAsia"/>
                <w:sz w:val="18"/>
              </w:rPr>
              <w:t>①</w:t>
            </w:r>
            <w:r w:rsidRPr="00957367">
              <w:rPr>
                <w:sz w:val="18"/>
              </w:rPr>
              <w:t xml:space="preserve"> </w:t>
            </w:r>
            <w:r>
              <w:rPr>
                <w:rFonts w:hint="eastAsia"/>
                <w:sz w:val="18"/>
              </w:rPr>
              <w:t>弊社</w:t>
            </w:r>
            <w:r w:rsidRPr="00957367">
              <w:rPr>
                <w:sz w:val="18"/>
              </w:rPr>
              <w:t>に納入される全ての物品の検収は、</w:t>
            </w:r>
            <w:r>
              <w:rPr>
                <w:rFonts w:hint="eastAsia"/>
                <w:sz w:val="18"/>
              </w:rPr>
              <w:t>弊社</w:t>
            </w:r>
            <w:r w:rsidRPr="00957367">
              <w:rPr>
                <w:sz w:val="18"/>
              </w:rPr>
              <w:t>基準に基づき実施する。</w:t>
            </w:r>
          </w:p>
        </w:tc>
      </w:tr>
      <w:tr w:rsidR="008C6FE2" w:rsidTr="00CE641D">
        <w:tc>
          <w:tcPr>
            <w:tcW w:w="846" w:type="dxa"/>
            <w:vMerge/>
            <w:vAlign w:val="center"/>
          </w:tcPr>
          <w:p w:rsidR="008C6FE2" w:rsidRPr="00957367" w:rsidRDefault="008C6FE2" w:rsidP="00957367">
            <w:pPr>
              <w:rPr>
                <w:sz w:val="18"/>
              </w:rPr>
            </w:pPr>
          </w:p>
        </w:tc>
        <w:tc>
          <w:tcPr>
            <w:tcW w:w="1276" w:type="dxa"/>
            <w:vMerge/>
            <w:vAlign w:val="center"/>
          </w:tcPr>
          <w:p w:rsidR="008C6FE2" w:rsidRPr="00957367" w:rsidRDefault="008C6FE2" w:rsidP="00957367">
            <w:pPr>
              <w:rPr>
                <w:sz w:val="18"/>
              </w:rPr>
            </w:pPr>
          </w:p>
        </w:tc>
        <w:tc>
          <w:tcPr>
            <w:tcW w:w="2835" w:type="dxa"/>
            <w:vMerge/>
            <w:vAlign w:val="center"/>
          </w:tcPr>
          <w:p w:rsidR="008C6FE2" w:rsidRPr="00957367" w:rsidRDefault="008C6FE2" w:rsidP="00957367">
            <w:pPr>
              <w:rPr>
                <w:sz w:val="18"/>
              </w:rPr>
            </w:pPr>
          </w:p>
        </w:tc>
        <w:tc>
          <w:tcPr>
            <w:tcW w:w="3537" w:type="dxa"/>
            <w:vAlign w:val="center"/>
          </w:tcPr>
          <w:p w:rsidR="008C6FE2" w:rsidRPr="00957367" w:rsidRDefault="008C6FE2" w:rsidP="00957367">
            <w:pPr>
              <w:rPr>
                <w:sz w:val="18"/>
              </w:rPr>
            </w:pPr>
            <w:r w:rsidRPr="00957367">
              <w:rPr>
                <w:rFonts w:hint="eastAsia"/>
                <w:sz w:val="18"/>
              </w:rPr>
              <w:t>②</w:t>
            </w:r>
            <w:r w:rsidRPr="00957367">
              <w:rPr>
                <w:sz w:val="18"/>
              </w:rPr>
              <w:t xml:space="preserve"> 物品検収の事務の流れについては、</w:t>
            </w:r>
            <w:r>
              <w:rPr>
                <w:rFonts w:hint="eastAsia"/>
                <w:sz w:val="18"/>
              </w:rPr>
              <w:t>社</w:t>
            </w:r>
            <w:r w:rsidRPr="00957367">
              <w:rPr>
                <w:sz w:val="18"/>
              </w:rPr>
              <w:t>内関係者及び納入業者に周知を図る</w:t>
            </w:r>
          </w:p>
        </w:tc>
      </w:tr>
      <w:tr w:rsidR="008C6FE2" w:rsidTr="00CE641D">
        <w:tc>
          <w:tcPr>
            <w:tcW w:w="846" w:type="dxa"/>
            <w:vMerge/>
            <w:vAlign w:val="center"/>
          </w:tcPr>
          <w:p w:rsidR="008C6FE2" w:rsidRPr="00957367" w:rsidRDefault="008C6FE2" w:rsidP="00957367">
            <w:pPr>
              <w:rPr>
                <w:sz w:val="18"/>
              </w:rPr>
            </w:pPr>
          </w:p>
        </w:tc>
        <w:tc>
          <w:tcPr>
            <w:tcW w:w="1276" w:type="dxa"/>
            <w:vMerge/>
            <w:vAlign w:val="center"/>
          </w:tcPr>
          <w:p w:rsidR="008C6FE2" w:rsidRPr="00957367" w:rsidRDefault="008C6FE2" w:rsidP="00957367">
            <w:pPr>
              <w:rPr>
                <w:sz w:val="18"/>
              </w:rPr>
            </w:pPr>
          </w:p>
        </w:tc>
        <w:tc>
          <w:tcPr>
            <w:tcW w:w="2835" w:type="dxa"/>
            <w:vMerge/>
            <w:vAlign w:val="center"/>
          </w:tcPr>
          <w:p w:rsidR="008C6FE2" w:rsidRPr="00957367" w:rsidRDefault="008C6FE2" w:rsidP="00957367">
            <w:pPr>
              <w:rPr>
                <w:sz w:val="18"/>
              </w:rPr>
            </w:pPr>
          </w:p>
        </w:tc>
        <w:tc>
          <w:tcPr>
            <w:tcW w:w="3537" w:type="dxa"/>
            <w:vAlign w:val="center"/>
          </w:tcPr>
          <w:p w:rsidR="008C6FE2" w:rsidRPr="00957367" w:rsidRDefault="008C6FE2" w:rsidP="00957367">
            <w:pPr>
              <w:rPr>
                <w:sz w:val="18"/>
              </w:rPr>
            </w:pPr>
            <w:r w:rsidRPr="00957367">
              <w:rPr>
                <w:rFonts w:hint="eastAsia"/>
                <w:sz w:val="18"/>
              </w:rPr>
              <w:t>③業者による納品物品の持ち帰りや納品検</w:t>
            </w:r>
            <w:r w:rsidRPr="00957367">
              <w:rPr>
                <w:sz w:val="18"/>
              </w:rPr>
              <w:t>収時における納品物品の反復使用がないか、事後抽出により物品確認を行う</w:t>
            </w:r>
          </w:p>
        </w:tc>
      </w:tr>
      <w:tr w:rsidR="008C6FE2" w:rsidTr="00CE641D">
        <w:tc>
          <w:tcPr>
            <w:tcW w:w="846" w:type="dxa"/>
            <w:vMerge/>
            <w:vAlign w:val="center"/>
          </w:tcPr>
          <w:p w:rsidR="008C6FE2" w:rsidRPr="00957367" w:rsidRDefault="008C6FE2" w:rsidP="00957367">
            <w:pPr>
              <w:rPr>
                <w:sz w:val="18"/>
              </w:rPr>
            </w:pPr>
          </w:p>
        </w:tc>
        <w:tc>
          <w:tcPr>
            <w:tcW w:w="1276" w:type="dxa"/>
            <w:vMerge/>
            <w:vAlign w:val="center"/>
          </w:tcPr>
          <w:p w:rsidR="008C6FE2" w:rsidRPr="00957367" w:rsidRDefault="008C6FE2" w:rsidP="00957367">
            <w:pPr>
              <w:rPr>
                <w:sz w:val="18"/>
              </w:rPr>
            </w:pPr>
          </w:p>
        </w:tc>
        <w:tc>
          <w:tcPr>
            <w:tcW w:w="2835" w:type="dxa"/>
            <w:vMerge/>
            <w:vAlign w:val="center"/>
          </w:tcPr>
          <w:p w:rsidR="008C6FE2" w:rsidRPr="00957367" w:rsidRDefault="008C6FE2" w:rsidP="00957367">
            <w:pPr>
              <w:rPr>
                <w:sz w:val="18"/>
              </w:rPr>
            </w:pPr>
          </w:p>
        </w:tc>
        <w:tc>
          <w:tcPr>
            <w:tcW w:w="3537" w:type="dxa"/>
            <w:vAlign w:val="center"/>
          </w:tcPr>
          <w:p w:rsidR="008C6FE2" w:rsidRPr="00957367" w:rsidRDefault="008C6FE2" w:rsidP="00957367">
            <w:pPr>
              <w:rPr>
                <w:sz w:val="18"/>
              </w:rPr>
            </w:pPr>
            <w:r w:rsidRPr="00957367">
              <w:rPr>
                <w:rFonts w:hint="eastAsia"/>
                <w:sz w:val="18"/>
              </w:rPr>
              <w:t>④特殊役務の検収は、明確なルールを定め</w:t>
            </w:r>
            <w:r w:rsidRPr="00957367">
              <w:rPr>
                <w:sz w:val="18"/>
              </w:rPr>
              <w:t>て行う。</w:t>
            </w:r>
          </w:p>
        </w:tc>
      </w:tr>
      <w:tr w:rsidR="008C6FE2" w:rsidTr="00CE641D">
        <w:tc>
          <w:tcPr>
            <w:tcW w:w="846" w:type="dxa"/>
            <w:vMerge/>
            <w:vAlign w:val="center"/>
          </w:tcPr>
          <w:p w:rsidR="008C6FE2" w:rsidRPr="00957367" w:rsidRDefault="008C6FE2" w:rsidP="00957367">
            <w:pPr>
              <w:rPr>
                <w:sz w:val="18"/>
              </w:rPr>
            </w:pPr>
          </w:p>
        </w:tc>
        <w:tc>
          <w:tcPr>
            <w:tcW w:w="1276" w:type="dxa"/>
            <w:vMerge/>
            <w:vAlign w:val="center"/>
          </w:tcPr>
          <w:p w:rsidR="008C6FE2" w:rsidRPr="00957367" w:rsidRDefault="008C6FE2" w:rsidP="00957367">
            <w:pPr>
              <w:rPr>
                <w:sz w:val="18"/>
              </w:rPr>
            </w:pPr>
          </w:p>
        </w:tc>
        <w:tc>
          <w:tcPr>
            <w:tcW w:w="2835" w:type="dxa"/>
            <w:vMerge/>
            <w:vAlign w:val="center"/>
          </w:tcPr>
          <w:p w:rsidR="008C6FE2" w:rsidRPr="00957367" w:rsidRDefault="008C6FE2" w:rsidP="00957367">
            <w:pPr>
              <w:rPr>
                <w:sz w:val="18"/>
              </w:rPr>
            </w:pPr>
          </w:p>
        </w:tc>
        <w:tc>
          <w:tcPr>
            <w:tcW w:w="3537" w:type="dxa"/>
            <w:vAlign w:val="center"/>
          </w:tcPr>
          <w:p w:rsidR="008C6FE2" w:rsidRPr="00957367" w:rsidRDefault="008C6FE2" w:rsidP="00957367">
            <w:pPr>
              <w:rPr>
                <w:sz w:val="18"/>
              </w:rPr>
            </w:pPr>
            <w:r w:rsidRPr="00957367">
              <w:rPr>
                <w:rFonts w:hint="eastAsia"/>
                <w:sz w:val="18"/>
              </w:rPr>
              <w:t>⑤</w:t>
            </w:r>
            <w:r w:rsidRPr="00957367">
              <w:rPr>
                <w:sz w:val="18"/>
              </w:rPr>
              <w:t xml:space="preserve"> 納入業者が検収を適正に受けていない場合等は、その実態に応じて取引停止等の適切な措置を講じる</w:t>
            </w:r>
            <w:r>
              <w:rPr>
                <w:rFonts w:hint="eastAsia"/>
                <w:sz w:val="18"/>
              </w:rPr>
              <w:t>。</w:t>
            </w:r>
          </w:p>
        </w:tc>
      </w:tr>
      <w:tr w:rsidR="008C6FE2" w:rsidTr="00CE641D">
        <w:tc>
          <w:tcPr>
            <w:tcW w:w="846" w:type="dxa"/>
            <w:vMerge/>
            <w:vAlign w:val="center"/>
          </w:tcPr>
          <w:p w:rsidR="008C6FE2" w:rsidRPr="00957367" w:rsidRDefault="008C6FE2" w:rsidP="00957367">
            <w:pPr>
              <w:rPr>
                <w:sz w:val="18"/>
              </w:rPr>
            </w:pPr>
          </w:p>
        </w:tc>
        <w:tc>
          <w:tcPr>
            <w:tcW w:w="1276" w:type="dxa"/>
            <w:vAlign w:val="center"/>
          </w:tcPr>
          <w:p w:rsidR="008C6FE2" w:rsidRPr="00957367" w:rsidRDefault="008C6FE2" w:rsidP="00957367">
            <w:pPr>
              <w:rPr>
                <w:sz w:val="18"/>
              </w:rPr>
            </w:pPr>
            <w:r>
              <w:rPr>
                <w:rFonts w:hint="eastAsia"/>
                <w:sz w:val="18"/>
              </w:rPr>
              <w:t>物品管理</w:t>
            </w:r>
          </w:p>
        </w:tc>
        <w:tc>
          <w:tcPr>
            <w:tcW w:w="2835" w:type="dxa"/>
            <w:vAlign w:val="center"/>
          </w:tcPr>
          <w:p w:rsidR="008C6FE2" w:rsidRPr="00957367" w:rsidRDefault="008C6FE2" w:rsidP="00957367">
            <w:pPr>
              <w:rPr>
                <w:sz w:val="18"/>
              </w:rPr>
            </w:pPr>
            <w:r w:rsidRPr="00957367">
              <w:rPr>
                <w:rFonts w:hint="eastAsia"/>
                <w:sz w:val="18"/>
              </w:rPr>
              <w:t>換金</w:t>
            </w:r>
          </w:p>
        </w:tc>
        <w:tc>
          <w:tcPr>
            <w:tcW w:w="3537" w:type="dxa"/>
            <w:vAlign w:val="center"/>
          </w:tcPr>
          <w:p w:rsidR="008C6FE2" w:rsidRPr="00957367" w:rsidRDefault="008C6FE2" w:rsidP="00957367">
            <w:pPr>
              <w:rPr>
                <w:sz w:val="18"/>
              </w:rPr>
            </w:pPr>
            <w:r w:rsidRPr="00957367">
              <w:rPr>
                <w:rFonts w:hint="eastAsia"/>
                <w:sz w:val="18"/>
              </w:rPr>
              <w:t>換金性の高い物品について適正な管理を行</w:t>
            </w:r>
            <w:r w:rsidRPr="00957367">
              <w:rPr>
                <w:sz w:val="18"/>
              </w:rPr>
              <w:t>う。</w:t>
            </w:r>
          </w:p>
        </w:tc>
      </w:tr>
      <w:tr w:rsidR="008C6FE2" w:rsidTr="00CE641D">
        <w:tc>
          <w:tcPr>
            <w:tcW w:w="846" w:type="dxa"/>
            <w:vMerge/>
            <w:vAlign w:val="center"/>
          </w:tcPr>
          <w:p w:rsidR="008C6FE2" w:rsidRPr="00957367" w:rsidRDefault="008C6FE2" w:rsidP="00957367">
            <w:pPr>
              <w:rPr>
                <w:sz w:val="18"/>
              </w:rPr>
            </w:pPr>
          </w:p>
        </w:tc>
        <w:tc>
          <w:tcPr>
            <w:tcW w:w="1276" w:type="dxa"/>
            <w:vMerge w:val="restart"/>
            <w:vAlign w:val="center"/>
          </w:tcPr>
          <w:p w:rsidR="008C6FE2" w:rsidRPr="00957367" w:rsidRDefault="008C6FE2" w:rsidP="00957367">
            <w:pPr>
              <w:rPr>
                <w:sz w:val="18"/>
              </w:rPr>
            </w:pPr>
            <w:r w:rsidRPr="00957367">
              <w:rPr>
                <w:rFonts w:hint="eastAsia"/>
                <w:sz w:val="18"/>
              </w:rPr>
              <w:t>出張事実</w:t>
            </w:r>
            <w:r w:rsidRPr="00957367">
              <w:rPr>
                <w:sz w:val="18"/>
              </w:rPr>
              <w:t>確認</w:t>
            </w:r>
          </w:p>
        </w:tc>
        <w:tc>
          <w:tcPr>
            <w:tcW w:w="2835" w:type="dxa"/>
            <w:vMerge w:val="restart"/>
            <w:vAlign w:val="center"/>
          </w:tcPr>
          <w:p w:rsidR="008C6FE2" w:rsidRPr="00957367" w:rsidRDefault="008C6FE2" w:rsidP="00957367">
            <w:pPr>
              <w:rPr>
                <w:sz w:val="18"/>
              </w:rPr>
            </w:pPr>
            <w:r w:rsidRPr="00957367">
              <w:rPr>
                <w:rFonts w:hint="eastAsia"/>
                <w:sz w:val="18"/>
              </w:rPr>
              <w:t>旅行報告が「学会出席」「資料収集」など</w:t>
            </w:r>
            <w:r w:rsidRPr="00957367">
              <w:rPr>
                <w:sz w:val="18"/>
              </w:rPr>
              <w:t>の簡便な記載で処理され</w:t>
            </w:r>
            <w:r w:rsidRPr="00957367">
              <w:rPr>
                <w:sz w:val="18"/>
              </w:rPr>
              <w:lastRenderedPageBreak/>
              <w:t>ている。旅費の精算が旅行終了後、長期間行われていない。諸手続がルーズとなれば、カラ出張が発生する温床となる。</w:t>
            </w:r>
          </w:p>
        </w:tc>
        <w:tc>
          <w:tcPr>
            <w:tcW w:w="3537" w:type="dxa"/>
            <w:vAlign w:val="center"/>
          </w:tcPr>
          <w:p w:rsidR="008C6FE2" w:rsidRDefault="008C6FE2" w:rsidP="00957367">
            <w:pPr>
              <w:rPr>
                <w:sz w:val="18"/>
              </w:rPr>
            </w:pPr>
            <w:r w:rsidRPr="00957367">
              <w:rPr>
                <w:rFonts w:hint="eastAsia"/>
                <w:sz w:val="18"/>
              </w:rPr>
              <w:lastRenderedPageBreak/>
              <w:t>①</w:t>
            </w:r>
            <w:r w:rsidRPr="00957367">
              <w:rPr>
                <w:sz w:val="18"/>
              </w:rPr>
              <w:t xml:space="preserve"> 出張者が出張報告書を作成するにあたり、用務内容によって次の事項を義務</w:t>
            </w:r>
            <w:r w:rsidRPr="00957367">
              <w:rPr>
                <w:sz w:val="18"/>
              </w:rPr>
              <w:lastRenderedPageBreak/>
              <w:t>付ける。</w:t>
            </w:r>
          </w:p>
          <w:p w:rsidR="008C6FE2" w:rsidRDefault="008C6FE2" w:rsidP="00957367">
            <w:pPr>
              <w:rPr>
                <w:sz w:val="18"/>
              </w:rPr>
            </w:pPr>
            <w:r w:rsidRPr="00957367">
              <w:rPr>
                <w:sz w:val="18"/>
              </w:rPr>
              <w:t>（ア）研究打合せ等の用務である場合は、 出張報告書に打合せの相手方の所属・氏名を記述する。</w:t>
            </w:r>
          </w:p>
          <w:p w:rsidR="008C6FE2" w:rsidRPr="00957367" w:rsidRDefault="008C6FE2" w:rsidP="00957367">
            <w:pPr>
              <w:rPr>
                <w:sz w:val="18"/>
              </w:rPr>
            </w:pPr>
            <w:r w:rsidRPr="00957367">
              <w:rPr>
                <w:sz w:val="18"/>
              </w:rPr>
              <w:t>（イ）学会出席等の用務である場合は、大会要旨や当日配布される資料の一部を添付する</w:t>
            </w:r>
          </w:p>
        </w:tc>
      </w:tr>
      <w:tr w:rsidR="008C6FE2" w:rsidTr="00CE641D">
        <w:tc>
          <w:tcPr>
            <w:tcW w:w="846" w:type="dxa"/>
            <w:vMerge/>
            <w:vAlign w:val="center"/>
          </w:tcPr>
          <w:p w:rsidR="008C6FE2" w:rsidRPr="00957367" w:rsidRDefault="008C6FE2" w:rsidP="00957367">
            <w:pPr>
              <w:rPr>
                <w:sz w:val="18"/>
              </w:rPr>
            </w:pPr>
          </w:p>
        </w:tc>
        <w:tc>
          <w:tcPr>
            <w:tcW w:w="1276" w:type="dxa"/>
            <w:vMerge/>
            <w:vAlign w:val="center"/>
          </w:tcPr>
          <w:p w:rsidR="008C6FE2" w:rsidRPr="00957367" w:rsidRDefault="008C6FE2" w:rsidP="00957367">
            <w:pPr>
              <w:rPr>
                <w:sz w:val="18"/>
              </w:rPr>
            </w:pPr>
          </w:p>
        </w:tc>
        <w:tc>
          <w:tcPr>
            <w:tcW w:w="2835" w:type="dxa"/>
            <w:vMerge/>
            <w:vAlign w:val="center"/>
          </w:tcPr>
          <w:p w:rsidR="008C6FE2" w:rsidRPr="00957367" w:rsidRDefault="008C6FE2" w:rsidP="00957367">
            <w:pPr>
              <w:rPr>
                <w:sz w:val="18"/>
              </w:rPr>
            </w:pPr>
          </w:p>
        </w:tc>
        <w:tc>
          <w:tcPr>
            <w:tcW w:w="3537" w:type="dxa"/>
            <w:vAlign w:val="center"/>
          </w:tcPr>
          <w:p w:rsidR="008C6FE2" w:rsidRPr="009545F5" w:rsidRDefault="008C6FE2" w:rsidP="00957367">
            <w:pPr>
              <w:rPr>
                <w:sz w:val="18"/>
              </w:rPr>
            </w:pPr>
            <w:r w:rsidRPr="009545F5">
              <w:rPr>
                <w:rFonts w:hint="eastAsia"/>
                <w:sz w:val="18"/>
              </w:rPr>
              <w:t>②</w:t>
            </w:r>
            <w:r w:rsidRPr="009545F5">
              <w:rPr>
                <w:sz w:val="18"/>
              </w:rPr>
              <w:t xml:space="preserve"> 監査室等は、無作為の抽出による出張の事実確認を不定期に実施する。</w:t>
            </w:r>
          </w:p>
        </w:tc>
      </w:tr>
      <w:tr w:rsidR="008C6FE2" w:rsidTr="00CE641D">
        <w:tc>
          <w:tcPr>
            <w:tcW w:w="846" w:type="dxa"/>
            <w:vMerge/>
            <w:vAlign w:val="center"/>
          </w:tcPr>
          <w:p w:rsidR="008C6FE2" w:rsidRPr="00957367" w:rsidRDefault="008C6FE2" w:rsidP="00957367">
            <w:pPr>
              <w:rPr>
                <w:sz w:val="18"/>
              </w:rPr>
            </w:pPr>
          </w:p>
        </w:tc>
        <w:tc>
          <w:tcPr>
            <w:tcW w:w="1276" w:type="dxa"/>
            <w:vMerge/>
            <w:vAlign w:val="center"/>
          </w:tcPr>
          <w:p w:rsidR="008C6FE2" w:rsidRPr="00957367" w:rsidRDefault="008C6FE2" w:rsidP="00957367">
            <w:pPr>
              <w:rPr>
                <w:sz w:val="18"/>
              </w:rPr>
            </w:pPr>
          </w:p>
        </w:tc>
        <w:tc>
          <w:tcPr>
            <w:tcW w:w="2835" w:type="dxa"/>
            <w:vMerge/>
            <w:vAlign w:val="center"/>
          </w:tcPr>
          <w:p w:rsidR="008C6FE2" w:rsidRPr="00957367" w:rsidRDefault="008C6FE2" w:rsidP="00957367">
            <w:pPr>
              <w:rPr>
                <w:sz w:val="18"/>
              </w:rPr>
            </w:pPr>
          </w:p>
        </w:tc>
        <w:tc>
          <w:tcPr>
            <w:tcW w:w="3537" w:type="dxa"/>
            <w:vAlign w:val="center"/>
          </w:tcPr>
          <w:p w:rsidR="008C6FE2" w:rsidRPr="009545F5" w:rsidRDefault="008C6FE2" w:rsidP="008C6FE2">
            <w:pPr>
              <w:rPr>
                <w:sz w:val="18"/>
              </w:rPr>
            </w:pPr>
            <w:r w:rsidRPr="008C6FE2">
              <w:rPr>
                <w:rFonts w:hint="eastAsia"/>
                <w:sz w:val="18"/>
              </w:rPr>
              <w:t>③</w:t>
            </w:r>
            <w:r w:rsidRPr="008C6FE2">
              <w:rPr>
                <w:sz w:val="18"/>
              </w:rPr>
              <w:t xml:space="preserve"> 出張旅費の二重払いがないか、定期的に確認するとともに出張の事実確認は、明確なルールを定めて行う。</w:t>
            </w:r>
          </w:p>
        </w:tc>
      </w:tr>
      <w:tr w:rsidR="008C6FE2" w:rsidTr="00CE641D">
        <w:tc>
          <w:tcPr>
            <w:tcW w:w="846" w:type="dxa"/>
            <w:vMerge/>
            <w:vAlign w:val="center"/>
          </w:tcPr>
          <w:p w:rsidR="008C6FE2" w:rsidRPr="00957367" w:rsidRDefault="008C6FE2" w:rsidP="00957367">
            <w:pPr>
              <w:rPr>
                <w:sz w:val="18"/>
              </w:rPr>
            </w:pPr>
          </w:p>
        </w:tc>
        <w:tc>
          <w:tcPr>
            <w:tcW w:w="1276" w:type="dxa"/>
            <w:vMerge w:val="restart"/>
            <w:vAlign w:val="center"/>
          </w:tcPr>
          <w:p w:rsidR="008C6FE2" w:rsidRPr="00957367" w:rsidRDefault="008C6FE2" w:rsidP="00957367">
            <w:pPr>
              <w:rPr>
                <w:sz w:val="18"/>
              </w:rPr>
            </w:pPr>
            <w:r w:rsidRPr="008C6FE2">
              <w:rPr>
                <w:rFonts w:hint="eastAsia"/>
                <w:sz w:val="18"/>
              </w:rPr>
              <w:t>謝金事実</w:t>
            </w:r>
            <w:r w:rsidRPr="008C6FE2">
              <w:rPr>
                <w:sz w:val="18"/>
              </w:rPr>
              <w:t>確認</w:t>
            </w:r>
          </w:p>
        </w:tc>
        <w:tc>
          <w:tcPr>
            <w:tcW w:w="2835" w:type="dxa"/>
            <w:vMerge w:val="restart"/>
            <w:vAlign w:val="center"/>
          </w:tcPr>
          <w:p w:rsidR="008C6FE2" w:rsidRPr="00957367" w:rsidRDefault="008C6FE2" w:rsidP="00957367">
            <w:pPr>
              <w:rPr>
                <w:sz w:val="18"/>
              </w:rPr>
            </w:pPr>
            <w:r w:rsidRPr="008C6FE2">
              <w:rPr>
                <w:rFonts w:hint="eastAsia"/>
                <w:sz w:val="18"/>
              </w:rPr>
              <w:t>出勤表にある作業従事者や実施確認者の確</w:t>
            </w:r>
            <w:r w:rsidRPr="008C6FE2">
              <w:rPr>
                <w:sz w:val="18"/>
              </w:rPr>
              <w:t>認欄がワープロで入力されるなど、作業従事者と確認者等の実施確認が確証できない。立替払いが行われている。実施確認が 確証できないと、カラ謝金の発生する温床となる。</w:t>
            </w:r>
          </w:p>
        </w:tc>
        <w:tc>
          <w:tcPr>
            <w:tcW w:w="3537" w:type="dxa"/>
            <w:vAlign w:val="center"/>
          </w:tcPr>
          <w:p w:rsidR="008C6FE2" w:rsidRPr="009545F5" w:rsidRDefault="008C6FE2" w:rsidP="00957367">
            <w:pPr>
              <w:rPr>
                <w:sz w:val="18"/>
              </w:rPr>
            </w:pPr>
            <w:r w:rsidRPr="008C6FE2">
              <w:rPr>
                <w:rFonts w:hint="eastAsia"/>
                <w:sz w:val="18"/>
              </w:rPr>
              <w:t>①</w:t>
            </w:r>
            <w:r w:rsidRPr="008C6FE2">
              <w:rPr>
                <w:sz w:val="18"/>
              </w:rPr>
              <w:t xml:space="preserve"> 作業従事者は、研究者等の指示による作業終了の都度、出勤表を管理する部署（事務室等）に赴き、出勤表に作業終了の押印をする。</w:t>
            </w:r>
          </w:p>
        </w:tc>
      </w:tr>
      <w:tr w:rsidR="008C6FE2" w:rsidTr="00CE641D">
        <w:tc>
          <w:tcPr>
            <w:tcW w:w="846" w:type="dxa"/>
            <w:vMerge/>
            <w:vAlign w:val="center"/>
          </w:tcPr>
          <w:p w:rsidR="008C6FE2" w:rsidRPr="00957367" w:rsidRDefault="008C6FE2" w:rsidP="00957367">
            <w:pPr>
              <w:rPr>
                <w:sz w:val="18"/>
              </w:rPr>
            </w:pPr>
          </w:p>
        </w:tc>
        <w:tc>
          <w:tcPr>
            <w:tcW w:w="1276" w:type="dxa"/>
            <w:vMerge/>
            <w:vAlign w:val="center"/>
          </w:tcPr>
          <w:p w:rsidR="008C6FE2" w:rsidRPr="00957367" w:rsidRDefault="008C6FE2" w:rsidP="00957367">
            <w:pPr>
              <w:rPr>
                <w:sz w:val="18"/>
              </w:rPr>
            </w:pPr>
          </w:p>
        </w:tc>
        <w:tc>
          <w:tcPr>
            <w:tcW w:w="2835" w:type="dxa"/>
            <w:vMerge/>
            <w:vAlign w:val="center"/>
          </w:tcPr>
          <w:p w:rsidR="008C6FE2" w:rsidRPr="00957367" w:rsidRDefault="008C6FE2" w:rsidP="00957367">
            <w:pPr>
              <w:rPr>
                <w:sz w:val="18"/>
              </w:rPr>
            </w:pPr>
          </w:p>
        </w:tc>
        <w:tc>
          <w:tcPr>
            <w:tcW w:w="3537" w:type="dxa"/>
            <w:vAlign w:val="center"/>
          </w:tcPr>
          <w:p w:rsidR="008C6FE2" w:rsidRPr="009545F5" w:rsidRDefault="008C6FE2" w:rsidP="00957367">
            <w:pPr>
              <w:rPr>
                <w:sz w:val="18"/>
              </w:rPr>
            </w:pPr>
            <w:r w:rsidRPr="008C6FE2">
              <w:rPr>
                <w:rFonts w:hint="eastAsia"/>
                <w:sz w:val="18"/>
              </w:rPr>
              <w:t>②</w:t>
            </w:r>
            <w:r w:rsidRPr="008C6FE2">
              <w:rPr>
                <w:sz w:val="18"/>
              </w:rPr>
              <w:t xml:space="preserve"> 監査室等は、不定期に作業内容等について作業従事者から直接、作業事実の確認をする。</w:t>
            </w:r>
          </w:p>
        </w:tc>
      </w:tr>
      <w:tr w:rsidR="008C6FE2" w:rsidTr="00CE641D">
        <w:tc>
          <w:tcPr>
            <w:tcW w:w="846" w:type="dxa"/>
            <w:vMerge/>
            <w:vAlign w:val="center"/>
          </w:tcPr>
          <w:p w:rsidR="008C6FE2" w:rsidRPr="00957367" w:rsidRDefault="008C6FE2" w:rsidP="00957367">
            <w:pPr>
              <w:rPr>
                <w:sz w:val="18"/>
              </w:rPr>
            </w:pPr>
          </w:p>
        </w:tc>
        <w:tc>
          <w:tcPr>
            <w:tcW w:w="1276" w:type="dxa"/>
            <w:vMerge/>
            <w:vAlign w:val="center"/>
          </w:tcPr>
          <w:p w:rsidR="008C6FE2" w:rsidRPr="00957367" w:rsidRDefault="008C6FE2" w:rsidP="00957367">
            <w:pPr>
              <w:rPr>
                <w:sz w:val="18"/>
              </w:rPr>
            </w:pPr>
          </w:p>
        </w:tc>
        <w:tc>
          <w:tcPr>
            <w:tcW w:w="2835" w:type="dxa"/>
            <w:vMerge/>
            <w:vAlign w:val="center"/>
          </w:tcPr>
          <w:p w:rsidR="008C6FE2" w:rsidRPr="00957367" w:rsidRDefault="008C6FE2" w:rsidP="00957367">
            <w:pPr>
              <w:rPr>
                <w:sz w:val="18"/>
              </w:rPr>
            </w:pPr>
          </w:p>
        </w:tc>
        <w:tc>
          <w:tcPr>
            <w:tcW w:w="3537" w:type="dxa"/>
            <w:vAlign w:val="center"/>
          </w:tcPr>
          <w:p w:rsidR="008C6FE2" w:rsidRPr="009545F5" w:rsidRDefault="008C6FE2" w:rsidP="00957367">
            <w:pPr>
              <w:rPr>
                <w:sz w:val="18"/>
              </w:rPr>
            </w:pPr>
            <w:r w:rsidRPr="008C6FE2">
              <w:rPr>
                <w:rFonts w:hint="eastAsia"/>
                <w:sz w:val="18"/>
              </w:rPr>
              <w:t>③　謝金の作業確認は、</w:t>
            </w:r>
            <w:r w:rsidRPr="008C6FE2">
              <w:rPr>
                <w:sz w:val="18"/>
              </w:rPr>
              <w:t xml:space="preserve"> 明確なルールを定めて行う。</w:t>
            </w:r>
          </w:p>
        </w:tc>
      </w:tr>
      <w:tr w:rsidR="008C6FE2" w:rsidTr="00CE641D">
        <w:tc>
          <w:tcPr>
            <w:tcW w:w="846" w:type="dxa"/>
            <w:vMerge/>
            <w:vAlign w:val="center"/>
          </w:tcPr>
          <w:p w:rsidR="008C6FE2" w:rsidRPr="00957367" w:rsidRDefault="008C6FE2" w:rsidP="00957367">
            <w:pPr>
              <w:rPr>
                <w:sz w:val="18"/>
              </w:rPr>
            </w:pPr>
          </w:p>
        </w:tc>
        <w:tc>
          <w:tcPr>
            <w:tcW w:w="1276" w:type="dxa"/>
            <w:vMerge w:val="restart"/>
            <w:vAlign w:val="center"/>
          </w:tcPr>
          <w:p w:rsidR="008C6FE2" w:rsidRPr="00957367" w:rsidRDefault="008C6FE2" w:rsidP="00957367">
            <w:pPr>
              <w:rPr>
                <w:sz w:val="18"/>
              </w:rPr>
            </w:pPr>
            <w:r w:rsidRPr="008C6FE2">
              <w:rPr>
                <w:rFonts w:hint="eastAsia"/>
                <w:sz w:val="18"/>
              </w:rPr>
              <w:t>内部監査の実</w:t>
            </w:r>
            <w:r w:rsidRPr="008C6FE2">
              <w:rPr>
                <w:sz w:val="18"/>
              </w:rPr>
              <w:t xml:space="preserve"> 施</w:t>
            </w:r>
          </w:p>
        </w:tc>
        <w:tc>
          <w:tcPr>
            <w:tcW w:w="2835" w:type="dxa"/>
            <w:vMerge w:val="restart"/>
            <w:vAlign w:val="center"/>
          </w:tcPr>
          <w:p w:rsidR="008C6FE2" w:rsidRPr="00957367" w:rsidRDefault="008C6FE2" w:rsidP="00957367">
            <w:pPr>
              <w:rPr>
                <w:sz w:val="18"/>
              </w:rPr>
            </w:pPr>
            <w:r w:rsidRPr="008C6FE2">
              <w:rPr>
                <w:rFonts w:hint="eastAsia"/>
                <w:sz w:val="18"/>
              </w:rPr>
              <w:t>定期的・定例的な監査であれば、監査機能</w:t>
            </w:r>
            <w:r w:rsidRPr="008C6FE2">
              <w:rPr>
                <w:sz w:val="18"/>
              </w:rPr>
              <w:t>を果たせない。</w:t>
            </w:r>
          </w:p>
        </w:tc>
        <w:tc>
          <w:tcPr>
            <w:tcW w:w="3537" w:type="dxa"/>
            <w:vAlign w:val="center"/>
          </w:tcPr>
          <w:p w:rsidR="008C6FE2" w:rsidRPr="009545F5" w:rsidRDefault="008C6FE2" w:rsidP="00957367">
            <w:pPr>
              <w:rPr>
                <w:sz w:val="18"/>
              </w:rPr>
            </w:pPr>
            <w:r w:rsidRPr="008C6FE2">
              <w:rPr>
                <w:rFonts w:hint="eastAsia"/>
                <w:sz w:val="18"/>
              </w:rPr>
              <w:t>①</w:t>
            </w:r>
            <w:r w:rsidRPr="008C6FE2">
              <w:rPr>
                <w:sz w:val="18"/>
              </w:rPr>
              <w:t xml:space="preserve"> 監査室は、研究不正防止推進委員会と密接な連携を図り、不正使用等を発生させる要因を踏まえた監査計画を毎回策定し、定期及び臨時に内部監査を実施する。</w:t>
            </w:r>
          </w:p>
        </w:tc>
      </w:tr>
      <w:tr w:rsidR="008C6FE2" w:rsidTr="00CE641D">
        <w:tc>
          <w:tcPr>
            <w:tcW w:w="846" w:type="dxa"/>
            <w:vMerge/>
            <w:vAlign w:val="center"/>
          </w:tcPr>
          <w:p w:rsidR="008C6FE2" w:rsidRPr="00957367" w:rsidRDefault="008C6FE2" w:rsidP="00957367">
            <w:pPr>
              <w:rPr>
                <w:sz w:val="18"/>
              </w:rPr>
            </w:pPr>
          </w:p>
        </w:tc>
        <w:tc>
          <w:tcPr>
            <w:tcW w:w="1276" w:type="dxa"/>
            <w:vMerge/>
            <w:vAlign w:val="center"/>
          </w:tcPr>
          <w:p w:rsidR="008C6FE2" w:rsidRPr="00957367" w:rsidRDefault="008C6FE2" w:rsidP="00957367">
            <w:pPr>
              <w:rPr>
                <w:sz w:val="18"/>
              </w:rPr>
            </w:pPr>
          </w:p>
        </w:tc>
        <w:tc>
          <w:tcPr>
            <w:tcW w:w="2835" w:type="dxa"/>
            <w:vMerge/>
            <w:vAlign w:val="center"/>
          </w:tcPr>
          <w:p w:rsidR="008C6FE2" w:rsidRPr="00957367" w:rsidRDefault="008C6FE2" w:rsidP="00957367">
            <w:pPr>
              <w:rPr>
                <w:sz w:val="18"/>
              </w:rPr>
            </w:pPr>
          </w:p>
        </w:tc>
        <w:tc>
          <w:tcPr>
            <w:tcW w:w="3537" w:type="dxa"/>
            <w:vAlign w:val="center"/>
          </w:tcPr>
          <w:p w:rsidR="008C6FE2" w:rsidRPr="009545F5" w:rsidRDefault="008C6FE2" w:rsidP="00957367">
            <w:pPr>
              <w:rPr>
                <w:sz w:val="18"/>
              </w:rPr>
            </w:pPr>
            <w:r w:rsidRPr="008C6FE2">
              <w:rPr>
                <w:rFonts w:hint="eastAsia"/>
                <w:sz w:val="18"/>
              </w:rPr>
              <w:t>②</w:t>
            </w:r>
            <w:r w:rsidRPr="008C6FE2">
              <w:rPr>
                <w:sz w:val="18"/>
              </w:rPr>
              <w:t xml:space="preserve"> 監査室は、監査を行った結果を取りまとめ、学内に周知するとともに、問題点等を確認した場合は、</w:t>
            </w:r>
            <w:r w:rsidR="00FD22CD">
              <w:rPr>
                <w:rFonts w:hint="eastAsia"/>
                <w:sz w:val="18"/>
              </w:rPr>
              <w:t>社長</w:t>
            </w:r>
            <w:r w:rsidRPr="008C6FE2">
              <w:rPr>
                <w:sz w:val="18"/>
              </w:rPr>
              <w:t>に対して必要な措置を講じるよう求める</w:t>
            </w:r>
            <w:r w:rsidR="00FD22CD">
              <w:rPr>
                <w:rFonts w:hint="eastAsia"/>
                <w:sz w:val="18"/>
              </w:rPr>
              <w:t>。</w:t>
            </w:r>
          </w:p>
        </w:tc>
      </w:tr>
      <w:tr w:rsidR="008C6FE2" w:rsidTr="00CE641D">
        <w:tc>
          <w:tcPr>
            <w:tcW w:w="846" w:type="dxa"/>
            <w:vMerge/>
            <w:vAlign w:val="center"/>
          </w:tcPr>
          <w:p w:rsidR="008C6FE2" w:rsidRPr="00957367" w:rsidRDefault="008C6FE2" w:rsidP="00957367">
            <w:pPr>
              <w:rPr>
                <w:sz w:val="18"/>
              </w:rPr>
            </w:pPr>
          </w:p>
        </w:tc>
        <w:tc>
          <w:tcPr>
            <w:tcW w:w="1276" w:type="dxa"/>
            <w:vMerge/>
            <w:vAlign w:val="center"/>
          </w:tcPr>
          <w:p w:rsidR="008C6FE2" w:rsidRPr="00957367" w:rsidRDefault="008C6FE2" w:rsidP="00957367">
            <w:pPr>
              <w:rPr>
                <w:sz w:val="18"/>
              </w:rPr>
            </w:pPr>
          </w:p>
        </w:tc>
        <w:tc>
          <w:tcPr>
            <w:tcW w:w="2835" w:type="dxa"/>
            <w:vMerge/>
            <w:vAlign w:val="center"/>
          </w:tcPr>
          <w:p w:rsidR="008C6FE2" w:rsidRPr="00957367" w:rsidRDefault="008C6FE2" w:rsidP="00957367">
            <w:pPr>
              <w:rPr>
                <w:sz w:val="18"/>
              </w:rPr>
            </w:pPr>
          </w:p>
        </w:tc>
        <w:tc>
          <w:tcPr>
            <w:tcW w:w="3537" w:type="dxa"/>
            <w:vAlign w:val="center"/>
          </w:tcPr>
          <w:p w:rsidR="008C6FE2" w:rsidRPr="009545F5" w:rsidRDefault="008C6FE2" w:rsidP="00957367">
            <w:pPr>
              <w:rPr>
                <w:sz w:val="18"/>
              </w:rPr>
            </w:pPr>
            <w:r w:rsidRPr="008C6FE2">
              <w:rPr>
                <w:rFonts w:hint="eastAsia"/>
                <w:sz w:val="18"/>
              </w:rPr>
              <w:t>③重点的なリスクアプローチ監査を実施す</w:t>
            </w:r>
            <w:r w:rsidRPr="008C6FE2">
              <w:rPr>
                <w:sz w:val="18"/>
              </w:rPr>
              <w:t>る。</w:t>
            </w:r>
          </w:p>
        </w:tc>
      </w:tr>
      <w:tr w:rsidR="00FD22CD" w:rsidTr="00CE641D">
        <w:tc>
          <w:tcPr>
            <w:tcW w:w="2122" w:type="dxa"/>
            <w:gridSpan w:val="2"/>
            <w:vAlign w:val="center"/>
          </w:tcPr>
          <w:p w:rsidR="00FD22CD" w:rsidRPr="00957367" w:rsidRDefault="00FD22CD" w:rsidP="00957367">
            <w:pPr>
              <w:rPr>
                <w:sz w:val="18"/>
              </w:rPr>
            </w:pPr>
            <w:r w:rsidRPr="00FD22CD">
              <w:rPr>
                <w:rFonts w:hint="eastAsia"/>
                <w:sz w:val="18"/>
              </w:rPr>
              <w:t>研究費にかかる相談等</w:t>
            </w:r>
            <w:r w:rsidRPr="00FD22CD">
              <w:rPr>
                <w:sz w:val="18"/>
              </w:rPr>
              <w:t>の取扱い</w:t>
            </w:r>
          </w:p>
        </w:tc>
        <w:tc>
          <w:tcPr>
            <w:tcW w:w="2835" w:type="dxa"/>
            <w:vAlign w:val="center"/>
          </w:tcPr>
          <w:p w:rsidR="00FD22CD" w:rsidRPr="00957367" w:rsidRDefault="00FD22CD" w:rsidP="00957367">
            <w:pPr>
              <w:rPr>
                <w:sz w:val="18"/>
              </w:rPr>
            </w:pPr>
            <w:r w:rsidRPr="00FD22CD">
              <w:rPr>
                <w:rFonts w:hint="eastAsia"/>
                <w:sz w:val="18"/>
              </w:rPr>
              <w:t>公的研究費に係る相談窓口が設置されてお</w:t>
            </w:r>
            <w:r w:rsidRPr="00FD22CD">
              <w:rPr>
                <w:sz w:val="18"/>
              </w:rPr>
              <w:t>らず、研究者と事務職員の間で意思疎通が 円滑でない等により、誤った解釈のまま執行管理されるおそれがある。</w:t>
            </w:r>
          </w:p>
        </w:tc>
        <w:tc>
          <w:tcPr>
            <w:tcW w:w="3537" w:type="dxa"/>
            <w:vAlign w:val="center"/>
          </w:tcPr>
          <w:p w:rsidR="00FD22CD" w:rsidRPr="009545F5" w:rsidRDefault="00FD22CD" w:rsidP="00957367">
            <w:pPr>
              <w:rPr>
                <w:sz w:val="18"/>
              </w:rPr>
            </w:pPr>
            <w:r w:rsidRPr="00FD22CD">
              <w:rPr>
                <w:rFonts w:hint="eastAsia"/>
                <w:sz w:val="18"/>
              </w:rPr>
              <w:t>①</w:t>
            </w:r>
            <w:r w:rsidRPr="00FD22CD">
              <w:rPr>
                <w:sz w:val="18"/>
              </w:rPr>
              <w:t xml:space="preserve"> 研究費にかかる相談等については、経費の使用に関しては</w:t>
            </w:r>
            <w:r>
              <w:rPr>
                <w:rFonts w:hint="eastAsia"/>
                <w:sz w:val="18"/>
              </w:rPr>
              <w:t>経理担当</w:t>
            </w:r>
            <w:r w:rsidRPr="00FD22CD">
              <w:rPr>
                <w:sz w:val="18"/>
              </w:rPr>
              <w:t>、その他、応募等も含み全般的な相談については</w:t>
            </w:r>
            <w:r>
              <w:rPr>
                <w:rFonts w:hint="eastAsia"/>
                <w:sz w:val="18"/>
              </w:rPr>
              <w:t>取締役会</w:t>
            </w:r>
            <w:r w:rsidRPr="00FD22CD">
              <w:rPr>
                <w:sz w:val="18"/>
              </w:rPr>
              <w:t>において応じる。また、窓口の設置場 所をホームページ等により周知する。</w:t>
            </w:r>
          </w:p>
        </w:tc>
      </w:tr>
      <w:tr w:rsidR="00FD22CD" w:rsidTr="00CE641D">
        <w:tc>
          <w:tcPr>
            <w:tcW w:w="2122" w:type="dxa"/>
            <w:gridSpan w:val="2"/>
            <w:vMerge w:val="restart"/>
            <w:vAlign w:val="center"/>
          </w:tcPr>
          <w:p w:rsidR="00FD22CD" w:rsidRPr="00957367" w:rsidRDefault="00FD22CD" w:rsidP="00957367">
            <w:pPr>
              <w:rPr>
                <w:sz w:val="18"/>
              </w:rPr>
            </w:pPr>
            <w:r w:rsidRPr="00FD22CD">
              <w:rPr>
                <w:rFonts w:hint="eastAsia"/>
                <w:sz w:val="18"/>
              </w:rPr>
              <w:lastRenderedPageBreak/>
              <w:t>不正使用等に係る通報等の</w:t>
            </w:r>
            <w:r w:rsidRPr="00FD22CD">
              <w:rPr>
                <w:sz w:val="18"/>
              </w:rPr>
              <w:t xml:space="preserve"> 取扱い</w:t>
            </w:r>
          </w:p>
        </w:tc>
        <w:tc>
          <w:tcPr>
            <w:tcW w:w="2835" w:type="dxa"/>
            <w:vMerge w:val="restart"/>
            <w:vAlign w:val="center"/>
          </w:tcPr>
          <w:p w:rsidR="00FD22CD" w:rsidRPr="00957367" w:rsidRDefault="00FD22CD" w:rsidP="00957367">
            <w:pPr>
              <w:rPr>
                <w:sz w:val="18"/>
              </w:rPr>
            </w:pPr>
            <w:r w:rsidRPr="00FD22CD">
              <w:rPr>
                <w:rFonts w:hint="eastAsia"/>
                <w:sz w:val="18"/>
              </w:rPr>
              <w:t>広く学内外から通報（告発）を受け付ける</w:t>
            </w:r>
            <w:r w:rsidRPr="00FD22CD">
              <w:rPr>
                <w:sz w:val="18"/>
              </w:rPr>
              <w:t xml:space="preserve"> 窓口がなく、通報者及び被告発者を保護するなどの体制が整備されていないと不正使用のリスクが増大するおそれがある。</w:t>
            </w:r>
          </w:p>
        </w:tc>
        <w:tc>
          <w:tcPr>
            <w:tcW w:w="3537" w:type="dxa"/>
            <w:vAlign w:val="center"/>
          </w:tcPr>
          <w:p w:rsidR="00FD22CD" w:rsidRPr="009545F5" w:rsidRDefault="00FD22CD" w:rsidP="00957367">
            <w:pPr>
              <w:rPr>
                <w:sz w:val="18"/>
              </w:rPr>
            </w:pPr>
            <w:r w:rsidRPr="00FD22CD">
              <w:rPr>
                <w:rFonts w:hint="eastAsia"/>
                <w:sz w:val="18"/>
              </w:rPr>
              <w:t>①</w:t>
            </w:r>
            <w:r w:rsidRPr="00FD22CD">
              <w:rPr>
                <w:sz w:val="18"/>
              </w:rPr>
              <w:t xml:space="preserve"> 不正使用等に係る通報等については、規則に基づき適正に取り扱う</w:t>
            </w:r>
          </w:p>
        </w:tc>
      </w:tr>
      <w:tr w:rsidR="00FD22CD" w:rsidTr="00CE641D">
        <w:tc>
          <w:tcPr>
            <w:tcW w:w="2122" w:type="dxa"/>
            <w:gridSpan w:val="2"/>
            <w:vMerge/>
            <w:vAlign w:val="center"/>
          </w:tcPr>
          <w:p w:rsidR="00FD22CD" w:rsidRPr="00957367" w:rsidRDefault="00FD22CD" w:rsidP="00957367">
            <w:pPr>
              <w:rPr>
                <w:sz w:val="18"/>
              </w:rPr>
            </w:pPr>
          </w:p>
        </w:tc>
        <w:tc>
          <w:tcPr>
            <w:tcW w:w="2835" w:type="dxa"/>
            <w:vMerge/>
            <w:vAlign w:val="center"/>
          </w:tcPr>
          <w:p w:rsidR="00FD22CD" w:rsidRPr="00957367" w:rsidRDefault="00FD22CD" w:rsidP="00957367">
            <w:pPr>
              <w:rPr>
                <w:sz w:val="18"/>
              </w:rPr>
            </w:pPr>
          </w:p>
        </w:tc>
        <w:tc>
          <w:tcPr>
            <w:tcW w:w="3537" w:type="dxa"/>
            <w:vAlign w:val="center"/>
          </w:tcPr>
          <w:p w:rsidR="00FD22CD" w:rsidRPr="009545F5" w:rsidRDefault="00FD22CD" w:rsidP="00957367">
            <w:pPr>
              <w:rPr>
                <w:sz w:val="18"/>
              </w:rPr>
            </w:pPr>
            <w:r w:rsidRPr="00FD22CD">
              <w:rPr>
                <w:rFonts w:hint="eastAsia"/>
                <w:sz w:val="18"/>
              </w:rPr>
              <w:t>②</w:t>
            </w:r>
            <w:r w:rsidRPr="00FD22CD">
              <w:rPr>
                <w:sz w:val="18"/>
              </w:rPr>
              <w:t xml:space="preserve"> 通報の方法と併せて、通報者及び調査協力者を保護するためのルールについても</w:t>
            </w:r>
            <w:r>
              <w:rPr>
                <w:rFonts w:hint="eastAsia"/>
                <w:sz w:val="18"/>
              </w:rPr>
              <w:t>会社</w:t>
            </w:r>
            <w:r w:rsidRPr="00FD22CD">
              <w:rPr>
                <w:sz w:val="18"/>
              </w:rPr>
              <w:t>内外に周知徹底を図り、その保護に十分留意する。</w:t>
            </w:r>
          </w:p>
        </w:tc>
      </w:tr>
      <w:tr w:rsidR="00FD22CD" w:rsidTr="00CE641D">
        <w:tc>
          <w:tcPr>
            <w:tcW w:w="2122" w:type="dxa"/>
            <w:gridSpan w:val="2"/>
            <w:vMerge w:val="restart"/>
            <w:vAlign w:val="center"/>
          </w:tcPr>
          <w:p w:rsidR="00FD22CD" w:rsidRPr="00957367" w:rsidRDefault="00FD22CD" w:rsidP="00957367">
            <w:pPr>
              <w:rPr>
                <w:sz w:val="18"/>
              </w:rPr>
            </w:pPr>
            <w:r w:rsidRPr="00FD22CD">
              <w:rPr>
                <w:rFonts w:hint="eastAsia"/>
                <w:sz w:val="18"/>
              </w:rPr>
              <w:t>不正防止に関する意識の徹</w:t>
            </w:r>
            <w:r w:rsidRPr="00FD22CD">
              <w:rPr>
                <w:sz w:val="18"/>
              </w:rPr>
              <w:t xml:space="preserve"> 底</w:t>
            </w:r>
          </w:p>
        </w:tc>
        <w:tc>
          <w:tcPr>
            <w:tcW w:w="2835" w:type="dxa"/>
            <w:vMerge w:val="restart"/>
            <w:vAlign w:val="center"/>
          </w:tcPr>
          <w:p w:rsidR="00FD22CD" w:rsidRPr="00957367" w:rsidRDefault="00FD22CD" w:rsidP="00957367">
            <w:pPr>
              <w:rPr>
                <w:sz w:val="18"/>
              </w:rPr>
            </w:pPr>
            <w:r w:rsidRPr="00FD22CD">
              <w:rPr>
                <w:rFonts w:hint="eastAsia"/>
                <w:sz w:val="18"/>
              </w:rPr>
              <w:t>公的研究費について、研究者は「自分のも</w:t>
            </w:r>
            <w:r w:rsidRPr="00FD22CD">
              <w:rPr>
                <w:sz w:val="18"/>
              </w:rPr>
              <w:t xml:space="preserve"> の」、事務職員は「預り金」という意識が 強く、公的研究費が公的資金であるという意識が希薄である。</w:t>
            </w:r>
          </w:p>
        </w:tc>
        <w:tc>
          <w:tcPr>
            <w:tcW w:w="3537" w:type="dxa"/>
            <w:vAlign w:val="center"/>
          </w:tcPr>
          <w:p w:rsidR="00FD22CD" w:rsidRPr="009545F5" w:rsidRDefault="00FD22CD" w:rsidP="00957367">
            <w:pPr>
              <w:rPr>
                <w:sz w:val="18"/>
              </w:rPr>
            </w:pPr>
            <w:r w:rsidRPr="00FD22CD">
              <w:rPr>
                <w:rFonts w:hint="eastAsia"/>
                <w:sz w:val="18"/>
              </w:rPr>
              <w:t>①</w:t>
            </w:r>
            <w:r>
              <w:rPr>
                <w:rFonts w:hint="eastAsia"/>
                <w:sz w:val="18"/>
              </w:rPr>
              <w:t>グリーンサイエンス・マテリアル株式会社</w:t>
            </w:r>
            <w:r w:rsidRPr="00FD22CD">
              <w:rPr>
                <w:sz w:val="18"/>
              </w:rPr>
              <w:t>における研究者等の行動規範に基づき研究者の研究倫理意識の高揚を図るとともに、事務職員が専 門的能力をもって公的研究費の適正な執行が行えるよう、定期的に説明会や研修会等を開催する。</w:t>
            </w:r>
          </w:p>
        </w:tc>
      </w:tr>
      <w:tr w:rsidR="00FD22CD" w:rsidTr="00CE641D">
        <w:tc>
          <w:tcPr>
            <w:tcW w:w="2122" w:type="dxa"/>
            <w:gridSpan w:val="2"/>
            <w:vMerge/>
            <w:vAlign w:val="center"/>
          </w:tcPr>
          <w:p w:rsidR="00FD22CD" w:rsidRPr="00957367" w:rsidRDefault="00FD22CD" w:rsidP="00957367">
            <w:pPr>
              <w:rPr>
                <w:sz w:val="18"/>
              </w:rPr>
            </w:pPr>
          </w:p>
        </w:tc>
        <w:tc>
          <w:tcPr>
            <w:tcW w:w="2835" w:type="dxa"/>
            <w:vMerge/>
            <w:vAlign w:val="center"/>
          </w:tcPr>
          <w:p w:rsidR="00FD22CD" w:rsidRPr="00957367" w:rsidRDefault="00FD22CD" w:rsidP="00957367">
            <w:pPr>
              <w:rPr>
                <w:sz w:val="18"/>
              </w:rPr>
            </w:pPr>
          </w:p>
        </w:tc>
        <w:tc>
          <w:tcPr>
            <w:tcW w:w="3537" w:type="dxa"/>
            <w:vAlign w:val="center"/>
          </w:tcPr>
          <w:p w:rsidR="00FD22CD" w:rsidRPr="009545F5" w:rsidRDefault="00FD22CD" w:rsidP="00957367">
            <w:pPr>
              <w:rPr>
                <w:sz w:val="18"/>
              </w:rPr>
            </w:pPr>
            <w:r w:rsidRPr="00FD22CD">
              <w:rPr>
                <w:rFonts w:hint="eastAsia"/>
                <w:sz w:val="18"/>
              </w:rPr>
              <w:t>②</w:t>
            </w:r>
            <w:r w:rsidRPr="00FD22CD">
              <w:rPr>
                <w:sz w:val="18"/>
              </w:rPr>
              <w:t xml:space="preserve"> 公的研究費の不正使用等の防止を図るため、研究者等に向けたマニュアルを作成・ 学内に周知することにより、コンプライアンス（法令遵守）の意識を徹底する。</w:t>
            </w:r>
          </w:p>
        </w:tc>
      </w:tr>
      <w:tr w:rsidR="00FD22CD" w:rsidTr="00CE641D">
        <w:tc>
          <w:tcPr>
            <w:tcW w:w="2122" w:type="dxa"/>
            <w:gridSpan w:val="2"/>
            <w:vMerge/>
            <w:vAlign w:val="center"/>
          </w:tcPr>
          <w:p w:rsidR="00FD22CD" w:rsidRPr="00957367" w:rsidRDefault="00FD22CD" w:rsidP="00957367">
            <w:pPr>
              <w:rPr>
                <w:sz w:val="18"/>
              </w:rPr>
            </w:pPr>
          </w:p>
        </w:tc>
        <w:tc>
          <w:tcPr>
            <w:tcW w:w="2835" w:type="dxa"/>
            <w:vMerge/>
            <w:vAlign w:val="center"/>
          </w:tcPr>
          <w:p w:rsidR="00FD22CD" w:rsidRPr="00957367" w:rsidRDefault="00FD22CD" w:rsidP="00957367">
            <w:pPr>
              <w:rPr>
                <w:sz w:val="18"/>
              </w:rPr>
            </w:pPr>
          </w:p>
        </w:tc>
        <w:tc>
          <w:tcPr>
            <w:tcW w:w="3537" w:type="dxa"/>
            <w:vAlign w:val="center"/>
          </w:tcPr>
          <w:p w:rsidR="00FD22CD" w:rsidRPr="009545F5" w:rsidRDefault="00FD22CD" w:rsidP="00957367">
            <w:pPr>
              <w:rPr>
                <w:sz w:val="18"/>
              </w:rPr>
            </w:pPr>
            <w:r w:rsidRPr="00FD22CD">
              <w:rPr>
                <w:rFonts w:hint="eastAsia"/>
                <w:sz w:val="18"/>
              </w:rPr>
              <w:t>③競争的資金等の運営・管理に関わる全て</w:t>
            </w:r>
            <w:r w:rsidRPr="00FD22CD">
              <w:rPr>
                <w:sz w:val="18"/>
              </w:rPr>
              <w:t>の構成員に対し、コンプライアンス教育の 受講を義務づけるとともに、理解度を把握 しつつ、誓約書の提出を求める。</w:t>
            </w:r>
          </w:p>
        </w:tc>
      </w:tr>
      <w:tr w:rsidR="00FD22CD" w:rsidTr="00CE641D">
        <w:tc>
          <w:tcPr>
            <w:tcW w:w="2122" w:type="dxa"/>
            <w:gridSpan w:val="2"/>
            <w:vMerge/>
            <w:vAlign w:val="center"/>
          </w:tcPr>
          <w:p w:rsidR="00FD22CD" w:rsidRPr="00957367" w:rsidRDefault="00FD22CD" w:rsidP="00957367">
            <w:pPr>
              <w:rPr>
                <w:sz w:val="18"/>
              </w:rPr>
            </w:pPr>
          </w:p>
        </w:tc>
        <w:tc>
          <w:tcPr>
            <w:tcW w:w="2835" w:type="dxa"/>
            <w:vMerge w:val="restart"/>
            <w:vAlign w:val="center"/>
          </w:tcPr>
          <w:p w:rsidR="00FD22CD" w:rsidRPr="00957367" w:rsidRDefault="00FD22CD" w:rsidP="00957367">
            <w:pPr>
              <w:rPr>
                <w:sz w:val="18"/>
              </w:rPr>
            </w:pPr>
            <w:r w:rsidRPr="00FD22CD">
              <w:rPr>
                <w:rFonts w:hint="eastAsia"/>
                <w:sz w:val="18"/>
              </w:rPr>
              <w:t>研究活動及び研究成果の発表等において行</w:t>
            </w:r>
            <w:r w:rsidRPr="00FD22CD">
              <w:rPr>
                <w:sz w:val="18"/>
              </w:rPr>
              <w:t xml:space="preserve"> われる不正行為が、研究者の存在意義を否定し、自己破壊に繋がる恐れがあるという研究倫理の意識が希薄である。</w:t>
            </w:r>
          </w:p>
        </w:tc>
        <w:tc>
          <w:tcPr>
            <w:tcW w:w="3537" w:type="dxa"/>
            <w:vAlign w:val="center"/>
          </w:tcPr>
          <w:p w:rsidR="00FD22CD" w:rsidRPr="009545F5" w:rsidRDefault="00FD22CD" w:rsidP="00957367">
            <w:pPr>
              <w:rPr>
                <w:sz w:val="18"/>
              </w:rPr>
            </w:pPr>
            <w:r w:rsidRPr="00FD22CD">
              <w:rPr>
                <w:rFonts w:hint="eastAsia"/>
                <w:sz w:val="18"/>
              </w:rPr>
              <w:t>①研究者を対象とした研究倫理教育を実施</w:t>
            </w:r>
            <w:r w:rsidRPr="00FD22CD">
              <w:rPr>
                <w:sz w:val="18"/>
              </w:rPr>
              <w:t>し、研究倫理の意識を徹底する。</w:t>
            </w:r>
          </w:p>
        </w:tc>
      </w:tr>
      <w:tr w:rsidR="00FD22CD" w:rsidTr="00CE641D">
        <w:tc>
          <w:tcPr>
            <w:tcW w:w="2122" w:type="dxa"/>
            <w:gridSpan w:val="2"/>
            <w:vMerge/>
            <w:vAlign w:val="center"/>
          </w:tcPr>
          <w:p w:rsidR="00FD22CD" w:rsidRPr="00957367" w:rsidRDefault="00FD22CD" w:rsidP="00957367">
            <w:pPr>
              <w:rPr>
                <w:sz w:val="18"/>
              </w:rPr>
            </w:pPr>
          </w:p>
        </w:tc>
        <w:tc>
          <w:tcPr>
            <w:tcW w:w="2835" w:type="dxa"/>
            <w:vMerge/>
            <w:vAlign w:val="center"/>
          </w:tcPr>
          <w:p w:rsidR="00FD22CD" w:rsidRPr="00957367" w:rsidRDefault="00FD22CD" w:rsidP="00957367">
            <w:pPr>
              <w:rPr>
                <w:sz w:val="18"/>
              </w:rPr>
            </w:pPr>
          </w:p>
        </w:tc>
        <w:tc>
          <w:tcPr>
            <w:tcW w:w="3537" w:type="dxa"/>
            <w:vAlign w:val="center"/>
          </w:tcPr>
          <w:p w:rsidR="00FD22CD" w:rsidRPr="009545F5" w:rsidRDefault="00FD22CD" w:rsidP="00957367">
            <w:pPr>
              <w:rPr>
                <w:sz w:val="18"/>
              </w:rPr>
            </w:pPr>
            <w:r w:rsidRPr="00FD22CD">
              <w:rPr>
                <w:rFonts w:hint="eastAsia"/>
                <w:sz w:val="18"/>
              </w:rPr>
              <w:t>②</w:t>
            </w:r>
            <w:r>
              <w:rPr>
                <w:rFonts w:hint="eastAsia"/>
                <w:sz w:val="18"/>
              </w:rPr>
              <w:t>従業員</w:t>
            </w:r>
            <w:r w:rsidRPr="00FD22CD">
              <w:rPr>
                <w:rFonts w:hint="eastAsia"/>
                <w:sz w:val="18"/>
              </w:rPr>
              <w:t>等に対し研究倫理教育を実施する。</w:t>
            </w:r>
          </w:p>
        </w:tc>
      </w:tr>
      <w:tr w:rsidR="00FD22CD" w:rsidTr="00CE641D">
        <w:tc>
          <w:tcPr>
            <w:tcW w:w="2122" w:type="dxa"/>
            <w:gridSpan w:val="2"/>
            <w:vAlign w:val="center"/>
          </w:tcPr>
          <w:p w:rsidR="00FD22CD" w:rsidRPr="00957367" w:rsidRDefault="00FD22CD" w:rsidP="00957367">
            <w:pPr>
              <w:rPr>
                <w:sz w:val="18"/>
              </w:rPr>
            </w:pPr>
            <w:r w:rsidRPr="00FD22CD">
              <w:rPr>
                <w:rFonts w:hint="eastAsia"/>
                <w:sz w:val="18"/>
              </w:rPr>
              <w:t>不正防止計画の見直し</w:t>
            </w:r>
          </w:p>
        </w:tc>
        <w:tc>
          <w:tcPr>
            <w:tcW w:w="2835" w:type="dxa"/>
            <w:vAlign w:val="center"/>
          </w:tcPr>
          <w:p w:rsidR="00FD22CD" w:rsidRPr="00957367" w:rsidRDefault="00FD22CD" w:rsidP="00957367">
            <w:pPr>
              <w:rPr>
                <w:sz w:val="18"/>
              </w:rPr>
            </w:pPr>
            <w:r w:rsidRPr="00FD22CD">
              <w:rPr>
                <w:rFonts w:hint="eastAsia"/>
                <w:sz w:val="18"/>
              </w:rPr>
              <w:t>全学的観点から不正防止に向けた対応策が</w:t>
            </w:r>
            <w:r w:rsidRPr="00FD22CD">
              <w:rPr>
                <w:sz w:val="18"/>
              </w:rPr>
              <w:t>計画的に実施されていない。また、実施内 容のマンネリ化がある。</w:t>
            </w:r>
          </w:p>
        </w:tc>
        <w:tc>
          <w:tcPr>
            <w:tcW w:w="3537" w:type="dxa"/>
            <w:vAlign w:val="center"/>
          </w:tcPr>
          <w:p w:rsidR="00FD22CD" w:rsidRPr="009545F5" w:rsidRDefault="00FD22CD" w:rsidP="00957367">
            <w:pPr>
              <w:rPr>
                <w:sz w:val="18"/>
              </w:rPr>
            </w:pPr>
            <w:r w:rsidRPr="00FD22CD">
              <w:rPr>
                <w:rFonts w:hint="eastAsia"/>
                <w:sz w:val="18"/>
              </w:rPr>
              <w:t>上記の項目は、公的研究費の不正使用等の</w:t>
            </w:r>
            <w:r w:rsidRPr="00FD22CD">
              <w:rPr>
                <w:sz w:val="18"/>
              </w:rPr>
              <w:t>防止のため当面取り組むべき措置を掲げた ものであることから、今後も継続して不正 を発生させる要因の把握とその検証を進めるとともに、文部科学省等からの情報提供 や他の研究機関における対応等を参考にしつつ、不断の見直しを行う。</w:t>
            </w:r>
          </w:p>
        </w:tc>
      </w:tr>
    </w:tbl>
    <w:p w:rsidR="0060117F" w:rsidRDefault="0060117F" w:rsidP="0060117F"/>
    <w:sectPr w:rsidR="006011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65911"/>
    <w:multiLevelType w:val="hybridMultilevel"/>
    <w:tmpl w:val="53D8E0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7F"/>
    <w:rsid w:val="001E098D"/>
    <w:rsid w:val="00230F18"/>
    <w:rsid w:val="005221F3"/>
    <w:rsid w:val="0060117F"/>
    <w:rsid w:val="00644293"/>
    <w:rsid w:val="008C6FE2"/>
    <w:rsid w:val="009545F5"/>
    <w:rsid w:val="00957367"/>
    <w:rsid w:val="00CE641D"/>
    <w:rsid w:val="00FD2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20436D"/>
  <w15:chartTrackingRefBased/>
  <w15:docId w15:val="{F8E1DD31-36C6-48EB-93EA-F30E30B8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73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慎一郎</dc:creator>
  <cp:keywords/>
  <dc:description/>
  <cp:lastModifiedBy>金子 慎一郎</cp:lastModifiedBy>
  <cp:revision>4</cp:revision>
  <dcterms:created xsi:type="dcterms:W3CDTF">2018-07-22T02:33:00Z</dcterms:created>
  <dcterms:modified xsi:type="dcterms:W3CDTF">2018-07-22T03:50:00Z</dcterms:modified>
</cp:coreProperties>
</file>